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AE" w:rsidRPr="00500F5F" w:rsidRDefault="00443CAE" w:rsidP="00443CAE">
      <w:pPr>
        <w:pStyle w:val="Balk4"/>
        <w:spacing w:before="0" w:after="120"/>
        <w:jc w:val="center"/>
        <w:rPr>
          <w:rFonts w:ascii="Palatino" w:hAnsi="Palatino"/>
          <w:iCs/>
          <w:color w:val="FF0000"/>
        </w:rPr>
      </w:pPr>
      <w:r w:rsidRPr="00885353">
        <w:rPr>
          <w:rFonts w:ascii="Palatino Linotype" w:hAnsi="Palatino Linotype"/>
          <w:iCs/>
          <w:color w:val="FF0000"/>
          <w:lang w:val="tr-TR"/>
        </w:rPr>
        <w:t>SİVAS</w:t>
      </w:r>
      <w:r w:rsidRPr="001C6C25">
        <w:rPr>
          <w:iCs/>
          <w:color w:val="FF0000"/>
          <w:lang w:val="tr-TR"/>
        </w:rPr>
        <w:t xml:space="preserve"> </w:t>
      </w:r>
      <w:r w:rsidRPr="00500F5F">
        <w:rPr>
          <w:rFonts w:ascii="Palatino" w:hAnsi="Palatino"/>
          <w:iCs/>
          <w:color w:val="FF0000"/>
        </w:rPr>
        <w:t>CUMHURİYET ÜNİVERSİTESİ İLAHİYAT FAKÜLTESİ</w:t>
      </w:r>
    </w:p>
    <w:p w:rsidR="00443CAE" w:rsidRPr="00500F5F" w:rsidRDefault="00443CAE" w:rsidP="00443CAE">
      <w:pPr>
        <w:spacing w:after="120"/>
        <w:jc w:val="center"/>
        <w:rPr>
          <w:b w:val="0"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ve</w:t>
      </w:r>
    </w:p>
    <w:p w:rsidR="00443CAE" w:rsidRPr="00500F5F" w:rsidRDefault="00443CAE" w:rsidP="00443CAE">
      <w:pPr>
        <w:pStyle w:val="Balk4"/>
        <w:spacing w:before="0" w:after="120"/>
        <w:jc w:val="center"/>
        <w:rPr>
          <w:rFonts w:ascii="Palatino" w:hAnsi="Palatino"/>
          <w:iCs/>
          <w:color w:val="00B0F0"/>
        </w:rPr>
      </w:pPr>
      <w:r w:rsidRPr="00500F5F">
        <w:rPr>
          <w:rFonts w:ascii="Palatino" w:hAnsi="Palatino"/>
          <w:iCs/>
          <w:color w:val="00B0F0"/>
        </w:rPr>
        <w:t>İSTANBUL MEDENİYET ÜNİVERSİTESİ EDEBİYAT FAKÜLTESİ</w:t>
      </w:r>
    </w:p>
    <w:p w:rsidR="00443CAE" w:rsidRDefault="00443CAE" w:rsidP="00443CAE">
      <w:pPr>
        <w:jc w:val="center"/>
        <w:rPr>
          <w:rFonts w:ascii="Palatino" w:hAnsi="Palatino"/>
          <w:bCs/>
          <w:color w:val="FF0000"/>
          <w:sz w:val="28"/>
          <w:szCs w:val="28"/>
        </w:rPr>
      </w:pPr>
      <w:r w:rsidRPr="00500F5F">
        <w:rPr>
          <w:rFonts w:ascii="Palatino" w:hAnsi="Palatino"/>
          <w:bCs/>
          <w:color w:val="FF0000"/>
          <w:sz w:val="28"/>
          <w:szCs w:val="28"/>
        </w:rPr>
        <w:t>ULUSLARARASI KUTB</w:t>
      </w:r>
      <w:r>
        <w:rPr>
          <w:rFonts w:ascii="Palatino" w:hAnsi="Palatino"/>
          <w:bCs/>
          <w:color w:val="FF0000"/>
          <w:sz w:val="28"/>
          <w:szCs w:val="28"/>
        </w:rPr>
        <w:t>U</w:t>
      </w:r>
      <w:r w:rsidRPr="00500F5F">
        <w:rPr>
          <w:rFonts w:ascii="Palatino" w:hAnsi="Palatino"/>
          <w:bCs/>
          <w:color w:val="FF0000"/>
          <w:sz w:val="28"/>
          <w:szCs w:val="28"/>
        </w:rPr>
        <w:t>DDİN ŞÎRÂZÎ SEMPOZYUMU</w:t>
      </w:r>
    </w:p>
    <w:p w:rsidR="00443CAE" w:rsidRDefault="00443CAE" w:rsidP="00443CAE">
      <w:pPr>
        <w:jc w:val="center"/>
        <w:rPr>
          <w:rFonts w:ascii="Palatino" w:hAnsi="Palatino"/>
          <w:bCs/>
          <w:color w:val="FF0000"/>
          <w:sz w:val="28"/>
          <w:szCs w:val="28"/>
        </w:rPr>
      </w:pPr>
    </w:p>
    <w:p w:rsidR="00443CAE" w:rsidRPr="00500F5F" w:rsidRDefault="00443CAE" w:rsidP="00443CAE">
      <w:pPr>
        <w:jc w:val="center"/>
        <w:rPr>
          <w:rFonts w:ascii="Palatino" w:hAnsi="Palatino"/>
          <w:b w:val="0"/>
          <w:bCs/>
          <w:color w:val="FF0000"/>
          <w:sz w:val="28"/>
          <w:szCs w:val="28"/>
        </w:rPr>
      </w:pPr>
      <w:r>
        <w:rPr>
          <w:rFonts w:ascii="Palatino" w:hAnsi="Palatino"/>
          <w:bCs/>
          <w:color w:val="FF0000"/>
          <w:sz w:val="28"/>
          <w:szCs w:val="28"/>
        </w:rPr>
        <w:t>ÇAĞRI METNİ</w:t>
      </w:r>
    </w:p>
    <w:p w:rsidR="00443CAE" w:rsidRPr="00500F5F" w:rsidRDefault="00443CAE" w:rsidP="00443CAE">
      <w:pPr>
        <w:rPr>
          <w:sz w:val="28"/>
          <w:szCs w:val="28"/>
        </w:rPr>
      </w:pPr>
    </w:p>
    <w:p w:rsidR="00443CAE" w:rsidRPr="00500F5F" w:rsidRDefault="00443CAE" w:rsidP="00443CAE">
      <w:pPr>
        <w:pStyle w:val="Balk4"/>
        <w:spacing w:before="120" w:after="120"/>
        <w:jc w:val="center"/>
        <w:rPr>
          <w:rFonts w:ascii="Palatino" w:hAnsi="Palatino"/>
          <w:color w:val="17365D"/>
        </w:rPr>
      </w:pPr>
      <w:r w:rsidRPr="00500F5F">
        <w:rPr>
          <w:rFonts w:ascii="Palatino" w:hAnsi="Palatino"/>
          <w:color w:val="17365D"/>
        </w:rPr>
        <w:t>20-22 Mayıs 2021, Sivas</w:t>
      </w:r>
    </w:p>
    <w:p w:rsidR="00443CAE" w:rsidRPr="00546ECA" w:rsidRDefault="00443CAE" w:rsidP="00443CAE">
      <w:pPr>
        <w:spacing w:after="120" w:line="360" w:lineRule="auto"/>
        <w:jc w:val="both"/>
        <w:rPr>
          <w:rFonts w:ascii="Times New Roman" w:hAnsi="Times New Roman"/>
          <w:b w:val="0"/>
          <w:bCs/>
        </w:rPr>
      </w:pPr>
    </w:p>
    <w:p w:rsidR="00443CAE" w:rsidRPr="006E7F3B" w:rsidRDefault="00443CAE" w:rsidP="00443CAE">
      <w:pPr>
        <w:pStyle w:val="Body"/>
        <w:spacing w:after="120"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Sivas Cumhuriyet Üniversitesi ve İstanbul Medeniyet Üniversitesi işbirliği ile İslâm-Türk</w:t>
      </w:r>
      <w:r w:rsidR="002949A4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  <w:r w:rsidR="002949A4" w:rsidRPr="002949A4">
        <w:rPr>
          <w:rFonts w:ascii="Times New Roman" w:eastAsia="Calibri" w:hAnsi="Times New Roman" w:cs="Times New Roman"/>
          <w:color w:val="auto"/>
          <w:sz w:val="22"/>
          <w:szCs w:val="22"/>
        </w:rPr>
        <w:t>felsefe ve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bilim tarihinin çok yönlü âlimi Kutb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ddin Şîrâzî (ö. 710/1311) hakkında bir uluslararası sempozyum düzenlenmesi hedeflenmektedir.</w:t>
      </w:r>
    </w:p>
    <w:p w:rsidR="00443CAE" w:rsidRPr="006E7F3B" w:rsidRDefault="00443CAE" w:rsidP="00443CAE">
      <w:pPr>
        <w:pStyle w:val="Body"/>
        <w:spacing w:after="120"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1236 yılında Şiraz’da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tabip bir ailede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dünyaya gelen Şîrâzî bilim ve düşüncenin önde gelen tüm alanlarında eser vermiş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ve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etkileri çağları aşmış bir âlimdir. Aynı zamanda bir sufî olan babası ve yakın çevresi sayesinde küçük yaşlardan itibaren tasavvuf terbiyesi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almış ve 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geleneksel İslâmî ilimler öğrenimini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de 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tamamlamıştır.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İlhanlılar ve Anadolu Selçukluları dönemlerinde eser veren Şîrâzî, Osmanlı dönemi başta olmak üzere bilim ve düşünce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geleneğimize çok yönlü katkıda bulunmuştur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. Şiraz’da başlayan serüvenini peşine düştüğü 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el-Kânûn fi’t-tıbb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ve şerhleri doğrudan etkilemiştir. Bu esere iyi bir şerh yazma amacıyla İslâm coğrafyasının önde gelen ilim merkezlerine yaptığı yolculuklar onu dönemin en etkin şahsiyetleriyle buluşturmuştur. Mera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ğ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a’da Necmeddin Kâtîbî ve Nasirüddin Tûsî ile olan yakınlığından sonra yolu Anadolu şehirlerine düşmüştür. Konya’da Mevlânâ’nın meclislerine katılmış, Sadreddin Konevî’den hadis okumuş, Urmevî ile aynı şehirlerde görev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yapmış, Şemseddin Cuveynî ve Muînuddin Pervâ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ne gibi dönemin önde gelen devlet adamlarının himayesine girmiştir. İlhanlılar tarafından Sivas ve Malatya’ya kadı olarak atanmış, Sivas’ta Gökmedrese’de dersler vermiştir. İlhanlıların elçisi olarak Memlükler ile arabu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luculuk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için Kahire’ye gönderilmiştir. Burada dönemin en önemli tabibi İbn Nefîs ile çalışma fırsatı yakalamış ve yazmayı sürdürdüğü 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Kânûn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şerhi için malzeme toplamıştır. Hayatının son yıllarını İlhanlılar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’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ın kurduğu Şenb-i Gazan adlı külliyede, Tebriz matematik-astronomi okulunun bir tür kurucu başkanlığını yaparak geçiren Şîrâzî, başkent Tebriz’de vefat etmiş ve ilim meclislerinden arkadaşı olan Kadı Beyzâvî ile aynı kabristanda yanyana defnedilmiştir.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Nizâmu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ddin Nîsâbûrî, Kemâleddin Fârisî, M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bârekşâh el-Buhârî,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Kutbu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ddin Râzî başta olmak üzere çok sayıda isme hocalık yapmıştır.</w:t>
      </w:r>
    </w:p>
    <w:p w:rsidR="00443CAE" w:rsidRPr="006E7F3B" w:rsidRDefault="00443CAE" w:rsidP="00443CAE">
      <w:pPr>
        <w:pStyle w:val="Body"/>
        <w:spacing w:after="120"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Şirâzî matematik ve astronomi tarihinin önde gelen şahsiyetlerinden biridir. Bu alanda kaleme aldığı </w:t>
      </w:r>
      <w: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et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-Tuhfetu’ş-şâhiyye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fî ilmi’l-hey’e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ve 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Nihâyet</w:t>
      </w:r>
      <w: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u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’l-idrâk fî dirâyeti’l-eflâk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gibi pek çok sayıda eserin yanında 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el-Kânûn fi’t-tıbb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’a yazdığı şerh, 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Hikmet</w:t>
      </w:r>
      <w: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u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’l-İşrâk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ve 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Hikmet</w:t>
      </w:r>
      <w: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u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’l-ayn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şerhleri, dil ilimlerinde 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 xml:space="preserve">yazdığı 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Miftâh</w:t>
      </w:r>
      <w: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u’l-m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iftâh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, tefsirde yazdığı </w:t>
      </w:r>
      <w: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Fethu’l-m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ennân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, bir ilimler ansiklopedisi 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D</w:t>
      </w:r>
      <w: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u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rret</w:t>
      </w:r>
      <w: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u</w:t>
      </w:r>
      <w:r w:rsidRPr="006E7F3B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’t-tâc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adlı eserlerinin her birinin ayrı bir değeri vardır.</w:t>
      </w:r>
    </w:p>
    <w:p w:rsidR="00443CAE" w:rsidRPr="006E7F3B" w:rsidRDefault="00443CAE" w:rsidP="00443CAE">
      <w:pPr>
        <w:pStyle w:val="Body"/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443CAE" w:rsidRPr="006E7F3B" w:rsidRDefault="00443CAE" w:rsidP="00443CAE">
      <w:pPr>
        <w:pStyle w:val="Body"/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Anadolu'da matematik bilimlerinin önde gelen kurucuları ar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asında yer alan Şîrâzî gerek icâ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zetnamelerd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eki yeri ve öğrenci silsilesi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gerekse eserleriyle Osmanlı düny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asında yakından takip edilmiş,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Osmanlı bilim ve düşüncesinin oluşumunda büyük bir etkiye sahip olmuştur. Şîrâzî aynı zamanda bir Anadolu ve Sivas â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limidir. Sivas’ta kadılık,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Gökmedrese’de müderrislik yapması onu Sivas için tanıtılması gereken bir değer haline getirmiştir. Bu itibarla </w:t>
      </w:r>
      <w:r w:rsidRPr="006E7F3B">
        <w:rPr>
          <w:rFonts w:ascii="Times New Roman" w:eastAsia="Calibri" w:hAnsi="Times New Roman" w:cs="Times New Roman"/>
          <w:sz w:val="22"/>
          <w:szCs w:val="22"/>
        </w:rPr>
        <w:t xml:space="preserve">hayatının bir dönemini Konya, Kayseri, Malatya ve Sivas gibi Anadolu şehirlerinde geçirmiş </w:t>
      </w:r>
      <w:r>
        <w:rPr>
          <w:rFonts w:ascii="Times New Roman" w:eastAsia="Calibri" w:hAnsi="Times New Roman" w:cs="Times New Roman"/>
          <w:sz w:val="22"/>
          <w:szCs w:val="22"/>
        </w:rPr>
        <w:t>ve</w:t>
      </w:r>
      <w:r w:rsidRPr="006E7F3B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Sivas’ın köklü ilim geleneğinin temellerinin atıldığı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>Gökm</w:t>
      </w: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edrese’de ders vermiş bir âlim olan Şîrâzî’nin düşüncesinin tüm yönleriyle ele alınacağı bir uluslararası sempozyum tertibi Sivas’ın bilim, düşünce ve kültür tarihindeki yerini belirleme adına büyük bir katkı sunacaktır.</w:t>
      </w:r>
    </w:p>
    <w:p w:rsidR="00443CAE" w:rsidRPr="006E7F3B" w:rsidRDefault="00443CAE" w:rsidP="00443CAE">
      <w:pPr>
        <w:pStyle w:val="Body"/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eastAsia="Calibri" w:hAnsi="Times New Roman" w:cs="Times New Roman"/>
          <w:sz w:val="22"/>
          <w:szCs w:val="22"/>
        </w:rPr>
        <w:t>Tebliğlerin şu başlıklarda hazırlanması teklif edilmektedir: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Dilbilimleri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eastAsia="Calibri" w:hAnsi="Times New Roman" w:cs="Times New Roman"/>
          <w:color w:val="auto"/>
          <w:sz w:val="22"/>
          <w:szCs w:val="22"/>
        </w:rPr>
        <w:t>Mantık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Tefsir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Astronomi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Tıp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Matematik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Coğrafya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Felsefe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İşrakî gelenek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Kelam</w:t>
      </w:r>
    </w:p>
    <w:p w:rsidR="00443CAE" w:rsidRPr="00D316B7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Tasavvuf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Mûsikî</w:t>
      </w:r>
    </w:p>
    <w:p w:rsidR="00443CAE" w:rsidRPr="00D316B7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D316B7">
        <w:rPr>
          <w:rFonts w:ascii="Times New Roman" w:hAnsi="Times New Roman" w:cs="Times New Roman"/>
          <w:color w:val="auto"/>
          <w:sz w:val="22"/>
          <w:szCs w:val="22"/>
        </w:rPr>
        <w:t>Ahlâk ve Siyaset Teorisi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Şerh ve Hâşiye Literatürü</w:t>
      </w:r>
    </w:p>
    <w:p w:rsidR="00443CAE" w:rsidRPr="005C453F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C453F">
        <w:rPr>
          <w:rFonts w:ascii="Times New Roman" w:hAnsi="Times New Roman" w:cs="Times New Roman"/>
          <w:color w:val="auto"/>
          <w:sz w:val="22"/>
          <w:szCs w:val="22"/>
        </w:rPr>
        <w:t>Şirâzî’nin Çağında Eğitim ve Eğitim Kurumları</w:t>
      </w:r>
    </w:p>
    <w:p w:rsidR="00443CAE" w:rsidRPr="005C453F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C453F">
        <w:rPr>
          <w:rFonts w:ascii="Times New Roman" w:hAnsi="Times New Roman" w:cs="Times New Roman"/>
          <w:color w:val="auto"/>
          <w:sz w:val="22"/>
          <w:szCs w:val="22"/>
        </w:rPr>
        <w:t>Şirâzî’nin Çağında Kütüphaneler</w:t>
      </w:r>
    </w:p>
    <w:p w:rsidR="00443CAE" w:rsidRPr="005C453F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C453F">
        <w:rPr>
          <w:rFonts w:ascii="Times New Roman" w:hAnsi="Times New Roman" w:cs="Times New Roman"/>
          <w:color w:val="auto"/>
          <w:sz w:val="22"/>
          <w:szCs w:val="22"/>
        </w:rPr>
        <w:t>Yazma Eserler ve Kitap Kültürü Çalışmalarında Şirâzî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lastRenderedPageBreak/>
        <w:t>Ulemâ İlişki Ağları ve İcâzet-nâmeler</w:t>
      </w:r>
    </w:p>
    <w:p w:rsidR="00443CAE" w:rsidRPr="006E7F3B" w:rsidRDefault="00443CAE" w:rsidP="00443CAE">
      <w:pPr>
        <w:pStyle w:val="Body"/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E7F3B">
        <w:rPr>
          <w:rFonts w:ascii="Times New Roman" w:hAnsi="Times New Roman" w:cs="Times New Roman"/>
          <w:color w:val="auto"/>
          <w:sz w:val="22"/>
          <w:szCs w:val="22"/>
        </w:rPr>
        <w:t>Şehir Tarihi</w:t>
      </w:r>
    </w:p>
    <w:p w:rsidR="00443CAE" w:rsidRPr="006E7F3B" w:rsidRDefault="00443CAE" w:rsidP="00443CAE">
      <w:pPr>
        <w:spacing w:after="120" w:line="360" w:lineRule="auto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6E7F3B">
        <w:rPr>
          <w:rFonts w:ascii="Times New Roman" w:hAnsi="Times New Roman"/>
          <w:b w:val="0"/>
          <w:bCs/>
          <w:sz w:val="22"/>
          <w:szCs w:val="22"/>
        </w:rPr>
        <w:t>Tebliğ başlıklarının ve metinlerin yukarıda sayılan alanlarda ve disiplinler arası bir bakış ile hazırlanması, tebliğ özetlerinin 500 kelimeyi aşmaması beklenmektedir. Tebliğ sunumları Türkçe, Arapça ve İngilizce yapılabil</w:t>
      </w:r>
      <w:r>
        <w:rPr>
          <w:rFonts w:ascii="Times New Roman" w:hAnsi="Times New Roman"/>
          <w:b w:val="0"/>
          <w:bCs/>
          <w:sz w:val="22"/>
          <w:szCs w:val="22"/>
        </w:rPr>
        <w:t>e</w:t>
      </w:r>
      <w:r w:rsidRPr="006E7F3B">
        <w:rPr>
          <w:rFonts w:ascii="Times New Roman" w:hAnsi="Times New Roman"/>
          <w:b w:val="0"/>
          <w:bCs/>
          <w:sz w:val="22"/>
          <w:szCs w:val="22"/>
        </w:rPr>
        <w:t>cektir. Sunumu kabul edilen tebliğlerin sempozyumun yapıldığı yıl içinde basılması kararlaştırılmıştır.</w:t>
      </w:r>
    </w:p>
    <w:p w:rsidR="00443CAE" w:rsidRDefault="00443CAE"/>
    <w:sectPr w:rsidR="00443CAE" w:rsidSect="00BB15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,,,,&lt; ÇC,Z&lt;,Ç,55.,Y">
    <w:altName w:val="Times New Roman"/>
    <w:panose1 w:val="020B0604020202020204"/>
    <w:charset w:val="00"/>
    <w:family w:val="roman"/>
    <w:notTrueType/>
    <w:pitch w:val="default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D0D47"/>
    <w:multiLevelType w:val="hybridMultilevel"/>
    <w:tmpl w:val="0C30E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AE"/>
    <w:rsid w:val="002949A4"/>
    <w:rsid w:val="00443CAE"/>
    <w:rsid w:val="00BB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AD11C4"/>
  <w15:chartTrackingRefBased/>
  <w15:docId w15:val="{487FA45D-9172-0A4B-B536-C7AA2B7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CAE"/>
    <w:rPr>
      <w:rFonts w:ascii=",,,,&lt; ÇC,Z&lt;,Ç,55.,Y" w:eastAsia="Times New Roman" w:hAnsi=",,,,&lt; ÇC,Z&lt;,Ç,55.,Y" w:cs="Times New Roman"/>
      <w:b/>
      <w:lang w:eastAsia="tr-TR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43CAE"/>
    <w:pPr>
      <w:keepNext/>
      <w:spacing w:before="240" w:after="60"/>
      <w:outlineLvl w:val="3"/>
    </w:pPr>
    <w:rPr>
      <w:rFonts w:ascii="Calibri" w:hAnsi="Calibri"/>
      <w:bCs/>
      <w:sz w:val="28"/>
      <w:szCs w:val="28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semiHidden/>
    <w:rsid w:val="00443C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Body">
    <w:name w:val="Body"/>
    <w:rsid w:val="00443CAE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Arial Unicode MS" w:hAnsi="Arial Unicode MS" w:cs="Arial Unicode MS"/>
      <w:color w:val="000000"/>
      <w:sz w:val="20"/>
      <w:szCs w:val="20"/>
      <w:bdr w:val="nil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Serife Batur</dc:creator>
  <cp:keywords/>
  <dc:description/>
  <cp:lastModifiedBy>Serife Batur</cp:lastModifiedBy>
  <cp:revision>2</cp:revision>
  <dcterms:created xsi:type="dcterms:W3CDTF">2020-02-18T08:14:00Z</dcterms:created>
  <dcterms:modified xsi:type="dcterms:W3CDTF">2020-02-26T12:37:00Z</dcterms:modified>
</cp:coreProperties>
</file>